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br/>
        <w:br/>
        <w:t xml:space="preserve">--- Treść przekazanej wiadomości --- </w:t>
      </w:r>
    </w:p>
    <w:tbl>
      <w:tblPr>
        <w:tblW w:w="907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109"/>
        <w:gridCol w:w="7963"/>
      </w:tblGrid>
      <w:tr>
        <w:trPr/>
        <w:tc>
          <w:tcPr>
            <w:tcW w:w="1109" w:type="dxa"/>
            <w:tcBorders/>
            <w:shd w:fill="auto" w:val="clear"/>
            <w:vAlign w:val="center"/>
          </w:tcPr>
          <w:p>
            <w:pPr>
              <w:pStyle w:val="Nagwektabeli"/>
              <w:jc w:val="right"/>
              <w:rPr/>
            </w:pPr>
            <w:r>
              <w:rPr/>
              <w:t xml:space="preserve">Temat: </w:t>
            </w:r>
          </w:p>
        </w:tc>
        <w:tc>
          <w:tcPr>
            <w:tcW w:w="7963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Oficjalny Wniosek na mocy art 61 i 63 Konstytucji RP - wymogi art. 29 Ustawy o pracownikach samorządowych (t.j. Dz. U. z 2022 r. poz. 530)</w:t>
            </w:r>
          </w:p>
        </w:tc>
      </w:tr>
      <w:tr>
        <w:trPr/>
        <w:tc>
          <w:tcPr>
            <w:tcW w:w="1109" w:type="dxa"/>
            <w:tcBorders/>
            <w:shd w:fill="auto" w:val="clear"/>
            <w:vAlign w:val="center"/>
          </w:tcPr>
          <w:p>
            <w:pPr>
              <w:pStyle w:val="Nagwektabeli"/>
              <w:jc w:val="right"/>
              <w:rPr/>
            </w:pPr>
            <w:r>
              <w:rPr/>
              <w:t xml:space="preserve">Data: </w:t>
            </w:r>
          </w:p>
        </w:tc>
        <w:tc>
          <w:tcPr>
            <w:tcW w:w="7963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Mon, 8 Apr 2024 09:24:48 +0200</w:t>
            </w:r>
          </w:p>
        </w:tc>
      </w:tr>
      <w:tr>
        <w:trPr/>
        <w:tc>
          <w:tcPr>
            <w:tcW w:w="1109" w:type="dxa"/>
            <w:tcBorders/>
            <w:shd w:fill="auto" w:val="clear"/>
            <w:vAlign w:val="center"/>
          </w:tcPr>
          <w:p>
            <w:pPr>
              <w:pStyle w:val="Nagwektabeli"/>
              <w:jc w:val="right"/>
              <w:rPr/>
            </w:pPr>
            <w:r>
              <w:rPr/>
              <w:t xml:space="preserve">Nadawca: </w:t>
            </w:r>
          </w:p>
        </w:tc>
        <w:tc>
          <w:tcPr>
            <w:tcW w:w="7963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 xml:space="preserve">Inicjatywa - Jawność i Transparentność optymalizuje koszty publiczne - Wszyscy zmieniajmy Administrację na lepsze -pw </w:t>
            </w:r>
            <w:hyperlink r:id="rId2">
              <w:r>
                <w:rPr>
                  <w:rStyle w:val="Czeinternetowe"/>
                </w:rPr>
                <w:t>&lt;podnoszenie-wiedzy@samorzad.pl&gt;</w:t>
              </w:r>
            </w:hyperlink>
          </w:p>
        </w:tc>
      </w:tr>
      <w:tr>
        <w:trPr/>
        <w:tc>
          <w:tcPr>
            <w:tcW w:w="1109" w:type="dxa"/>
            <w:tcBorders/>
            <w:shd w:fill="auto" w:val="clear"/>
            <w:vAlign w:val="center"/>
          </w:tcPr>
          <w:p>
            <w:pPr>
              <w:pStyle w:val="Nagwektabeli"/>
              <w:jc w:val="right"/>
              <w:rPr/>
            </w:pPr>
            <w:r>
              <w:rPr/>
              <w:t xml:space="preserve">Adresat: </w:t>
            </w:r>
          </w:p>
        </w:tc>
        <w:tc>
          <w:tcPr>
            <w:tcW w:w="7963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hyperlink r:id="rId3">
              <w:r>
                <w:rPr>
                  <w:rStyle w:val="Czeinternetowe"/>
                </w:rPr>
                <w:t>adresat.urzad@samorzad.pl</w:t>
              </w:r>
            </w:hyperlink>
          </w:p>
        </w:tc>
      </w:tr>
      <w:tr>
        <w:trPr/>
        <w:tc>
          <w:tcPr>
            <w:tcW w:w="1109" w:type="dxa"/>
            <w:tcBorders/>
            <w:shd w:fill="auto" w:val="clear"/>
            <w:vAlign w:val="center"/>
          </w:tcPr>
          <w:p>
            <w:pPr>
              <w:pStyle w:val="Nagwektabeli"/>
              <w:jc w:val="right"/>
              <w:rPr/>
            </w:pPr>
            <w:r>
              <w:rPr/>
              <w:t xml:space="preserve">Kopia: </w:t>
            </w:r>
          </w:p>
        </w:tc>
        <w:tc>
          <w:tcPr>
            <w:tcW w:w="7963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hyperlink r:id="rId4">
              <w:r>
                <w:rPr>
                  <w:rStyle w:val="Czeinternetowe"/>
                </w:rPr>
                <w:t>dwnik@nik.gov.pl</w:t>
              </w:r>
            </w:hyperlink>
          </w:p>
        </w:tc>
      </w:tr>
    </w:tbl>
    <w:p>
      <w:pPr>
        <w:pStyle w:val="Tretekstu"/>
        <w:rPr>
          <w:rFonts w:ascii="Arial" w:hAnsi="Arial" w:cs="Arial"/>
          <w:color w:val="000000"/>
          <w:sz w:val="20"/>
          <w:szCs w:val="20"/>
        </w:rPr>
      </w:pPr>
      <w:r>
        <w:rPr/>
        <w:br/>
      </w:r>
    </w:p>
    <w:p>
      <w:pPr>
        <w:pStyle w:val="Normal"/>
        <w:jc w:val="both"/>
        <w:rPr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Kierownik Jednostki Samorządu Terytorialnego (dalej JST) - w rozumieniu art. 33 ust. 3 Ustawy z dnia 8 marca 1990 r. o samorządzie gminnym (t.j. Dz. U. z 2022 r. poz. 1526.)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(t.j. Dz. U. z 2019 r. poz. 162, 1590)  oraz przepisów art. 4 ust. 5 Ustawy o petycjach ( tj. Dz.U. 2018 poz. 870) 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Data dostarczenia  zgodna z dyspozycją art. 61 pkt. 2 Ustawy Kodeks Cywilny (t.j. Dz. U. z 2020 r. poz. 1740)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W razie wątpliwości co do trybu jaki należy zastosować do naszego pisma - wnosimy o bezwzględne zastosowanie dyspozycji art. 222 Ustawy z dnia 14 czerwca 1960 r. Kodeks postępowania administracyjnego ( t.j. Dz. U. z 2020 r. poz. 256, 695)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Preambuła Wniosku/Petycji*: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Wnioskodawca przed złożeniem niniejszego wniosku dokonał analizy odpowiedzi uzyskanych  w trybie ustawy o dostępie do informacji publicznej w przeciągu ostatnich 20 lat -  w obszarze związanym z wydatkowaniem środków podatników przez JST  na cele dotyczące szkoleń i  podnoszenia kwalifikacji Urzędników.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Punktem wyjścia analizy dokonanej przez wnioskodawcę był zapis art. 241 KPA: “Przedmiotem wniosku mogą być w szczególności sprawy ulepszenia organizacji, wzmocnienia praworządności, usprawnienia pracy i zapobiegania nadużyciom, ochrony własności, lepszego zaspokajania potrzeb ludności.”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Oczywiście wszystko w kontekście art. 61 i 63 Konstytucji RP (…) "Każdy ma prawo składać petycje, wnioski i skargi w interesie publicznym, własnym, (…) etc”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Dodatkowo dokonując analizy uzyskanych do tej pory odpowiedzi i widząc potrzebę zadania kolejnych pytań związanych z wydatkowaniem przez Urzędy środków Podatników - Wnioskodawca -  opierał się w tym przypadku na następujących podstawach prawnych: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Art. 24 ust. 2 pkt. 7 i art. 29 Ustawy o z dnia 21 listopada 2008 r. o pracownikach samorządowych t.j. (Dz. U. z 2022 r. poz. 530) ”   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- scilicet: art. 24  wzmiankowanej ustawy: „(…) Do obowiązków pracownika samorządowego należy w szczególności (…) stałe podnoszenie umiejętności i kwalifikacji zawodowych (…)”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Art. 29 wyżej wzmiankowanej  ustawy - scilicet: "(…)  1. Pracownicy samorządowi uczestniczą w różnych formach podnoszenia wiedzy i kwalifikacji zawodowych.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2. W planach finansowych jednostek, o których mowa w art. 2, przewiduje się środki finansowe na podnoszenie wiedzy i kwalifikacji zawodowych. (…)”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Ponadto Wnioskodawca  ponownie zapoznał się z protokołami pokontrolnymi Najwyższej Izby Kontroli opublikowanymi na stronach www.nik.gov.pl inter alia o sygnaturze LBY-4101-017-00/2014 Nr ewid. 23/2015/P/14/037/LBY pod nazwą „Organizacja i finasowanie szkoleń dla pracownikow administracji publicznej”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W konkluzjach ogólnych - rzeczonych protokołów NIK -  znalazła się m.in. następująca sugestia: 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„</w:t>
      </w:r>
      <w:r>
        <w:rPr>
          <w:rFonts w:cs="Arial" w:ascii="Arial" w:hAnsi="Arial"/>
          <w:color w:val="000000"/>
          <w:sz w:val="20"/>
          <w:szCs w:val="20"/>
        </w:rPr>
        <w:t>(…) Najwyższa Izba Kontroli, niezależnie od wniosków przekazanych w wystąpieniach pokontrolnych kierownikom skontrolowanych jednostek, uznaje za niezbędne podjęcie następujących działań na rzecz efektywnego wykorzystania środków przeznaczonych na szkolenia pracowników: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− </w:t>
      </w:r>
      <w:r>
        <w:rPr>
          <w:rFonts w:cs="Arial" w:ascii="Arial" w:hAnsi="Arial"/>
          <w:color w:val="000000"/>
          <w:sz w:val="20"/>
          <w:szCs w:val="20"/>
        </w:rPr>
        <w:t>dokonywanie – w szczególności w jednostkach samorządu terytorialnego – rzetelnych analiz rzeczywistych potrzeb szkoleniowych oraz sporządzanie na ich podstawie okresowych planów szkoleń;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− </w:t>
      </w:r>
      <w:r>
        <w:rPr>
          <w:rFonts w:cs="Arial" w:ascii="Arial" w:hAnsi="Arial"/>
          <w:color w:val="000000"/>
          <w:sz w:val="20"/>
          <w:szCs w:val="20"/>
        </w:rPr>
        <w:t>określenie mechanizmów i procedur kontrolnych zapewniających efektywne wykorzystanie środków finansowych, w tym przeznaczonych na podnoszenie kwalifikacji zawodowych pracowników;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− </w:t>
      </w:r>
      <w:r>
        <w:rPr>
          <w:rFonts w:cs="Arial" w:ascii="Arial" w:hAnsi="Arial"/>
          <w:color w:val="000000"/>
          <w:sz w:val="20"/>
          <w:szCs w:val="20"/>
        </w:rPr>
        <w:t>wypracowanie instrumentów ewaluacji szkoleń i innych form podnoszenia kwalifikacji zawodowych pracowników, pozwalających na dokonanie oceny, czy przyniosły one zamierzone rezultaty. Zdaniem NIK istnieje potrzeba oparcia ewaluacji szkoleń na weryfikacji zdobytej wiedzy i umiejętności oraz ich poświadczania stosownym certyfikatem zamiast powszechnie stosowanych certyfikatów potwierdzających jedynie fakt uczestnictwa w szkoleniu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Ponadto w treści wzmiankowanych protokołów NIK zarzuca JST, w poszczególnych przypadkach: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"Kierowanie pracowników na szkolenia, których tematyka nie odpowiadała ich zakresom czynności i zadaniom realizowanym przez Urząd (…)” - sic!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Jak wynika z protokołów - wg. NIK - Urzędnicy "(…) nie sporządzali planów szkoleń oraz </w:t>
      </w:r>
      <w:r>
        <w:rPr>
          <w:rFonts w:cs="Arial" w:ascii="Arial" w:hAnsi="Arial"/>
          <w:b/>
          <w:bCs/>
          <w:color w:val="000000"/>
          <w:sz w:val="20"/>
          <w:szCs w:val="20"/>
        </w:rPr>
        <w:t>nie prowadzili dokumentacji dotyczącej planowania i przebiegu szkoleń na podstawie tzw. „indywidualnych ścieżek rozwoju zawodowego pracowników”(…)”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Analizując uzyskane w ostatnich latach odpowiedzi Wnioskodawca utwierdził się w przekonaniu, że pomimo upływu czasu sygnalizowane przez NIK mankamenty nie zostały usunięte, a w pewnych obszarach wraz ze wzrostem budżetów na cele szkoleniowe - problematyka niewłaściwego wydatkowania środków podatników w tym obszarze się pogłębia i wymaga ciągłej kontroli społecznej - poprzez zwiększanie jawności i transparentności.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Zatem każdy Podatnik - ma obowiązek i prawo zadawać pytanie czy -  jeśli prawdziwe są powzięte przez  NIK wnioski - można byłoby pieniądze podatników  wydatkować efektywniej w tym obszarze?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Wszak w obecnej - szybko zmieniającej się rzeczywistości można uzyskiwać dostęp do efektywnych szkoleń - w obszarach rzeczywiście najbardziej palących i związanych z nowymi wyzwaniami jakie stawia informatyzacja, sztuczna inteligencja, cyberbezpieczeństwo, etc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Resumując - zdaniem wnioskodawcy - biorąc pod uwagę, że wydatkowane są na ten cel pieniądze Podatników - w szczególnym interesie publicznym pro publico bono jest poddanie tego obszaru kontroli społecznej, procedurom sanacyjnym, czy to w trybie art. 241 KPA czy innych przepisów dot. jawności i transparentności, etc 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W zawiązku z powyższym: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Osnowa Wniosku: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§1) Na mocy art. 61 Konstytucji RP, w trybie art. 6 ust. 1 pkt. 1 lit c Ustawy z dnia 6 września o dostępie do informacji publicznej (t.j. Dz. U. z 2022 r. poz. 902) - w dalszej części rzeczona ustawa może występować pod akronimem: uoddip) - wnosimy o udzielnie informacji publicznej - jaką kwotę ze środków publicznych wydatkowała Gmina w 2023 r. w ramach zakupów szkoleń związanych z tematyką szeroko pojętego cyberbezpieczeństwa?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§1.1) W trybie wyżej wymienionych przepisów - wnosimy o wymienienie co najmniej 5 tytułów i odnośnych zakresów tematycznych szkoleń - w ramach których  - w 2023 r. wydatkowano w Urzędzie najwyższe kwoty ze środków publicznych.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W tym przypadku Wnioskodawca pyta o rzeczone 5 tytułów szkoleń wybranych z ogólnego zakresu tematycznego odbytych szkoleń w 2023 r.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Do każdego z wyszczegolnionych wyżej wzmiankowanych zakresów tematycznych szkoleń, o które wnioskodawca pyta zgodnie z §1.1. -  wnosimy o przypisanie odnośnej kwantyfikacji poniesionych kosztów.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§2) </w:t>
      </w:r>
      <w:r>
        <w:rPr>
          <w:rFonts w:cs="Arial" w:ascii="Arial" w:hAnsi="Arial"/>
          <w:b/>
          <w:bCs/>
          <w:color w:val="000000"/>
          <w:sz w:val="20"/>
          <w:szCs w:val="20"/>
        </w:rPr>
        <w:t> W trybie wyżej wzmiankowanych przepisów - wnosimy o udzielenie informacji publicznej  - czy w ciągu ostatnich 4 lat Gmina korzystała ze szkoleń finansowanych z Krajowego Funduszu Szkoleniowego?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§3) Korespondując z informacjami uzyskanymi z wyżej cytowanych protokołów pokontrolnych NIK - na mocy art. 61 Konstytucji RP, w trybie art. 6 ust. 1 pkt. 1 lit c Ustawy z dnia 6 września o dostępie do informacji publicznej (t.j. Dz. U. z 2022 r. poz. 902) - </w:t>
      </w:r>
      <w:r>
        <w:rPr>
          <w:rFonts w:cs="Arial" w:ascii="Arial" w:hAnsi="Arial"/>
          <w:b/>
          <w:bCs/>
          <w:color w:val="000000"/>
          <w:sz w:val="20"/>
          <w:szCs w:val="20"/>
        </w:rPr>
        <w:t>czy: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1. W Urzędzie  określono mechanizmy  i procedury kontrolne zapewniających efektywne wykorzystanie środków finansowych, w tym przeznaczonych na podnoszenie kwalifikacji zawodowych pracowników?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2. W Urzędzie - sporządzono plany szkoleń i prowadzona jest dokumentacja dotycząca planowania i przebiegu szkoleń na podstawie tzw. „indywidualnych ścieżek rozwoju zawodowego pracowników” ? - niniejsze pytanie dotyczy oczywiście stanu faktycznego związanego z okresem 2024 r.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3. Jeśli odpowiedź na pytanie z §2 pkt. 1 jest twierdząca - Wnioskodawca wnosi o udzielnie informacji publicznej czy Urząd opublikował jakąkolwiek dokumentację dotyczącą planowanych szkoleń oraz mechanizmów i procedur kontrolnych zapewniających efektywne wykorzystanie środków publicznych w tym obszarze -  w Biuletynie Informacji Publicznej i ewentualnie pod jakim adresem URL? 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§3a) </w:t>
      </w:r>
      <w:r>
        <w:rPr>
          <w:rFonts w:cs="Arial" w:ascii="Arial" w:hAnsi="Arial"/>
          <w:b/>
          <w:bCs/>
          <w:color w:val="000000"/>
          <w:sz w:val="20"/>
          <w:szCs w:val="20"/>
        </w:rPr>
        <w:t>W trybie wyżej powołanych przepisów wnosimy o udzielenie informacji publicznej w przedmiocie - czy Urząd brał udział w programie „Cyberbezpieczny Samorząd” i jaką kwotę pozyskał - lub ma szansę pozyskać w ramach rzecznego grantu?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§5) Na mocy art. 61 Konstytucji RP, w trybie art. 6 ust. 1 pkt. 1 lit a  (" Udostępnieniu podlega informacja (..)  zamierzeniach działań władzy ustawodawczej oraz wykonawczej”) Ustawy z dnia 6 września o dostępie do informacji publicznej (t.j. Dz. U. z 2022 r. poz. 902) -  </w:t>
      </w:r>
      <w:r>
        <w:rPr>
          <w:rFonts w:cs="Arial" w:ascii="Arial" w:hAnsi="Arial"/>
          <w:b/>
          <w:bCs/>
          <w:color w:val="000000"/>
          <w:sz w:val="20"/>
          <w:szCs w:val="20"/>
        </w:rPr>
        <w:t>Jaką kwotę - en bloc - zamierza przeznaczyć urząd do końca 2024 r. na szkolenia związane z potrzebą stopniowego przygotowywania się do wdrożenia w JST przepisów Dyrektywy 2022/2555 w sprawie środków na rzecz wysokiego wspólnego poziomu cyberbezpieczeństwa na terytorium Unii - (NIS2)?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§6) Na mocy art. 61 Konstytucji RP, w trybie art. 6 ust. 1 pkt. 1 lit a  (" Udostępnieniu podlega informacja (..)  zamierzeniach działań władzy ustawodawczej oraz wykonawczej”) Ustawy z dnia 6 września o dostępie do informacji publicznej (t.j. Dz. U. z 2022 r. poz. 902) -</w:t>
      </w:r>
      <w:r>
        <w:rPr>
          <w:rFonts w:cs="Arial" w:ascii="Arial" w:hAnsi="Arial"/>
          <w:b/>
          <w:bCs/>
          <w:color w:val="000000"/>
          <w:sz w:val="20"/>
          <w:szCs w:val="20"/>
        </w:rPr>
        <w:t> wnosimy o udzielenie informacji publicznej o 5 głównych obszarach szkoleń jakie  w 2024 r. - wydają się Gminie najbardziej istotne z punktu wypełniania zadań publicznych i racjonalnego wydatkowania środków podatników.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§7)  Na mocy art. 61 Konstytucji RP, w trybie art. 6 ust. 1 pkt. 1 lit c   Ustawy z dnia 6 września o dostępie do informacji publicznej (t.j. Dz. U. z 2022 r. poz. 902) -  wnosimy o udzielenie informacji publicznej w przedmiocie -  nazwy firm szkoleniowych, które realizowały 5 największych zamówień związanych z podnoszeniem kwalifikacji Urzędników w 2023 r.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Wnosimy jednocześnie aby każdemu dostawcy przyporządkowana była stosowana kwota - wydatkowana przez Gminę w 2023 r. na usługi tego typu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§8) Wnosimy o podanie danych kontaktowych Urzędnika, który w zakresie powierzonych mu zadań i wykonywanych kompetencji nadzoruje sprawy związane z zadaniami dotyczącymi tego obszaru wypełniania zadań publicznych w związku z ewentualnym zamawianiem i oceną efektywności dostępnych na rynku szkoleń   - scilicet:  (Imię i nazwisko, adres do korespondencji e-mail, tel. i stanowisko służbowe Urzędnika) </w:t>
      </w:r>
    </w:p>
    <w:p>
      <w:pPr>
        <w:pStyle w:val="Normal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Jeśli taki Urzędnik nie został wskazany wnosimy o podanie stosownych danych osoby, która - w empirii - operacyjnie zajmuje się tym obszarem działania Urzędu.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Preambula do pytania  z §9 poniżej:</w:t>
      </w:r>
    </w:p>
    <w:p>
      <w:pPr>
        <w:pStyle w:val="Normal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>Wnioskodawca analizując uzyskane na przestrzeni ostatnich lat - informacje publiczne z Gmin - dotyczące wypełniania zadania własnego określonego w art. 7 ust. 1 pkt 18 </w:t>
      </w:r>
      <w:r>
        <w:rPr>
          <w:rFonts w:cs="Arial" w:ascii="ArialMT" w:hAnsi="ArialMT"/>
          <w:color w:val="000000"/>
          <w:sz w:val="20"/>
          <w:szCs w:val="20"/>
        </w:rPr>
        <w:t>   Ustawy z dnia 8 marca 1990 r. o samorządzie gminnym   (tj. Dz. U. z 2022 r. poz. 559 , 583)  - potwierdził ze smutkiem ocenę Najwyższej Izby Kontroli zawartej w protokole pokontrolnym </w:t>
      </w:r>
      <w:r>
        <w:rPr>
          <w:rFonts w:cs="Arial" w:ascii="ArialMT" w:hAnsi="ArialMT"/>
          <w:b/>
          <w:bCs/>
          <w:color w:val="000000"/>
          <w:sz w:val="20"/>
          <w:szCs w:val="20"/>
        </w:rPr>
        <w:t>o sygnaturze: LKI.430.003.2019 Nr ewid. 74/2019/P/19/072/LKI </w:t>
      </w:r>
      <w:r>
        <w:rPr>
          <w:rFonts w:cs="Arial" w:ascii="ArialMT" w:hAnsi="ArialMT"/>
          <w:color w:val="000000"/>
          <w:sz w:val="20"/>
          <w:szCs w:val="20"/>
        </w:rPr>
        <w:t>(w całości dostępny na stronach </w:t>
      </w:r>
      <w:hyperlink r:id="rId5">
        <w:r>
          <w:rPr>
            <w:rStyle w:val="ListLabel1"/>
            <w:rFonts w:cs="Arial" w:ascii="ArialMT" w:hAnsi="ArialMT"/>
            <w:color w:val="0000FF"/>
            <w:sz w:val="20"/>
            <w:szCs w:val="20"/>
            <w:u w:val="single"/>
          </w:rPr>
          <w:t>nik.gov.pl</w:t>
        </w:r>
      </w:hyperlink>
      <w:r>
        <w:rPr>
          <w:rFonts w:cs="Arial" w:ascii="ArialMT" w:hAnsi="ArialMT"/>
          <w:color w:val="000000"/>
          <w:sz w:val="20"/>
          <w:szCs w:val="20"/>
        </w:rPr>
        <w:t>)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  <w:t>Dla przypomnienia NIK konkluduje inter alia: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MT" w:hAnsi="ArialMT"/>
          <w:b/>
          <w:bCs/>
          <w:color w:val="000000"/>
          <w:sz w:val="20"/>
          <w:szCs w:val="20"/>
        </w:rPr>
        <w:t>„</w:t>
      </w:r>
      <w:r>
        <w:rPr>
          <w:rFonts w:cs="Arial" w:ascii="ArialMT" w:hAnsi="ArialMT"/>
          <w:b/>
          <w:bCs/>
          <w:color w:val="000000"/>
          <w:sz w:val="20"/>
          <w:szCs w:val="20"/>
        </w:rPr>
        <w:t>(…) Promocja gmin odbywa się bez jasnych strategii i planów działań (…)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MT" w:hAnsi="ArialMT"/>
          <w:b/>
          <w:bCs/>
          <w:color w:val="000000"/>
          <w:sz w:val="20"/>
          <w:szCs w:val="20"/>
        </w:rPr>
        <w:t>„</w:t>
      </w:r>
      <w:r>
        <w:rPr>
          <w:rFonts w:cs="Arial" w:ascii="ArialMT" w:hAnsi="ArialMT"/>
          <w:b/>
          <w:bCs/>
          <w:color w:val="000000"/>
          <w:sz w:val="20"/>
          <w:szCs w:val="20"/>
        </w:rPr>
        <w:t>(…) </w:t>
      </w:r>
      <w:r>
        <w:rPr>
          <w:rFonts w:cs="Arial" w:ascii="ArialMT" w:hAnsi="ArialMT"/>
          <w:color w:val="000000"/>
          <w:sz w:val="20"/>
          <w:szCs w:val="20"/>
        </w:rPr>
        <w:t>Finansowanie z budżetów promocyjnych promocję celów, które nie miały nic wspólnego z promocją, stwierdzono </w:t>
      </w:r>
      <w:r>
        <w:rPr>
          <w:rFonts w:cs="Arial" w:ascii="ArialMT" w:hAnsi="ArialMT"/>
          <w:b/>
          <w:bCs/>
          <w:color w:val="000000"/>
          <w:sz w:val="20"/>
          <w:szCs w:val="20"/>
        </w:rPr>
        <w:t>w połowie skontrolowanych jst.</w:t>
      </w:r>
      <w:r>
        <w:rPr>
          <w:rFonts w:cs="Arial" w:ascii="ArialMT" w:hAnsi="ArialMT"/>
          <w:color w:val="000000"/>
          <w:sz w:val="20"/>
          <w:szCs w:val="20"/>
        </w:rPr>
        <w:t> (…)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  <w:t>W związku z tak rażącym złym stanem faktycznym dotyczących wydatkowania Środków Podatników na promocję gmin -  w tym przyciągnie uwagi potencjalnych inwestorów i turystów :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  <w:t>Wnioskodawca dokonał ad hoc analizy - trendów zwiążą nich z promocją Jednostek Samorządu Terytorialnego na ternie UE. Przeważają nowoczesne formy związane z użyciem multimediów do promocji Jednostek skierowane do Turystów i potencjalnych inwestorów.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  <w:t>W Hiszpania, Niemczech, Francji czy w Krajach Skandynawskich promocja gmin (tamtejszych odpowiedników gmin) nie odbiega poziomem od promocji dużych korporacji - podobny rozmach, nowoczesne narzędzia, długofalowe plany działań i jasne strategie z oceną efektów każdego wydatkowanego euro.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  <w:t>Tymczasem w naszym kraju NIK jakby a contrario w wyżej wzmiankowanym protokole NIK konkluduje: </w:t>
      </w:r>
    </w:p>
    <w:p>
      <w:pPr>
        <w:pStyle w:val="Normal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  <w:t>"(…) Dlatego Izba skierowała do kierowników skontrolowanych jst wnioski pokontrolne. Dotyczyły one przede wszystkim:</w:t>
      </w:r>
    </w:p>
    <w:p>
      <w:pPr>
        <w:pStyle w:val="Normal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  <w:t>- konieczności planowania zadań dotyczących promocji gminy, na podstawie sporządzanych </w:t>
      </w:r>
      <w:r>
        <w:rPr>
          <w:rFonts w:cs="Arial" w:ascii="ArialMT" w:hAnsi="ArialMT"/>
          <w:b/>
          <w:bCs/>
          <w:color w:val="000000"/>
          <w:sz w:val="20"/>
          <w:szCs w:val="20"/>
        </w:rPr>
        <w:t>analiz potrzeb oraz określenia wskaźników osiągania celów i zadań promocyjnych oraz monitorowania i dokonywania analizy osiągniętych efektów działań promocyjnych,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  <w:t>- finansowania ze środków przeznaczonych na promocję tylko przedsięwzięć służących promocji gminy,  (…)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  <w:t>W ww. Krajach w UE renomowane agencje reklamowe prowadzą kampanie wspólnot lokalnych w oparciu o specyfikę geograficzną i kulturalną z wykorzystaniem multimedialnych narzędzi w oparciu o analizę trendów społecznych i socjologicznych.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  <w:t>Ad exemplum - dużą popularnością cieszą się w ostatnim czasie m.in.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MT" w:hAnsi="ArialMT"/>
          <w:b/>
          <w:bCs/>
          <w:color w:val="000000"/>
          <w:sz w:val="20"/>
          <w:szCs w:val="20"/>
        </w:rPr>
        <w:t>"inteligentne centra informacji i obsługi miejskiej/gminnej" o nowoczesnych multimedialnych funkcjach:</w:t>
      </w:r>
    </w:p>
    <w:p>
      <w:pPr>
        <w:pStyle w:val="Normal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cs="Arial" w:ascii="ArialMT" w:hAnsi="ArialMT"/>
          <w:b/>
          <w:bCs/>
          <w:color w:val="000000"/>
          <w:sz w:val="20"/>
          <w:szCs w:val="20"/>
        </w:rPr>
        <w:t>Informacja turystyczna, Informacje dla potencjalnych inwestorów, historia gminy, lokalny przewodnik, Punkt  alarmowy, etc  </w:t>
      </w:r>
    </w:p>
    <w:p>
      <w:pPr>
        <w:pStyle w:val="Normal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</w:r>
    </w:p>
    <w:p>
      <w:pPr>
        <w:pStyle w:val="Normal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  <w:t>§9) W związku z powyższą analizą oraz druzgocącą opinią NIK o stanie faktycznym związanym z wydatkowaniem środków publicznych na realizację rzeczonych zadań - na mocy art. 61 Konstytucji RP, w trybie art. 6 ust. 1 pkt. 1 lit a  (" Udostępnieniu podlega informacja (..)  zamierzeniach działań władzy ustawodawczej oraz wykonawczej”) Ustawy z dnia 6 września o dostępie do informacji publicznej (t.j. Dz. U. z 2022 r. poz. 902)</w:t>
      </w:r>
    </w:p>
    <w:p>
      <w:pPr>
        <w:pStyle w:val="Normal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cs="Arial" w:ascii="ArialMT" w:hAnsi="ArialMT"/>
          <w:b/>
          <w:bCs/>
          <w:color w:val="000000"/>
          <w:sz w:val="20"/>
          <w:szCs w:val="20"/>
        </w:rPr>
        <w:t> </w:t>
      </w:r>
      <w:r>
        <w:rPr>
          <w:rFonts w:cs="Arial" w:ascii="ArialMT" w:hAnsi="ArialMT"/>
          <w:b/>
          <w:bCs/>
          <w:color w:val="000000"/>
          <w:sz w:val="20"/>
          <w:szCs w:val="20"/>
        </w:rPr>
        <w:t>- wnosimy o udzielnie informacji publicznej  - czy władze gminy zamierzają w ciągu najbliższych 3 lat rozpoznać możliwości nabycia nowoczesnych, multimedialnych - inteligentnych centrów informacji o jakich mowa jest w powyższym akapicie? 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  <w:t>Wnioskodawcy wydaje się, że takie działania pomogą wdrożyć procedurę sanacyjną w tym obszarze wydatkowania środków publicznych powierzonych Urzędnikom.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MT" w:hAnsi="ArialMT"/>
          <w:b/>
          <w:bCs/>
          <w:color w:val="000000"/>
          <w:sz w:val="20"/>
          <w:szCs w:val="20"/>
        </w:rPr>
        <w:t>SZCZEGÓLNA WAŻKOŚĆ z punktu widzenia uzasadnionego interesu społecznego - pro publico bono: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Zdaniem wnioskodawcy</w:t>
      </w:r>
      <w:r>
        <w:rPr>
          <w:rFonts w:cs="Arial" w:ascii="Arial" w:hAnsi="Arial"/>
          <w:color w:val="000000"/>
          <w:sz w:val="20"/>
          <w:szCs w:val="20"/>
        </w:rPr>
        <w:t> prawidłowo prowadzona dokumentacja w Urzędzie - dotycząca wydatkowania środków publicznych na określone w ramach wniosku zagadnienia - pozwala odpowiedzieć ad hoc na zadane pytania - bez konieczności nadmiernego przetwarzania danych będących w rejestrach urzędu.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  <w:t>Jednakże z ostrożności i dbałości o aspekt ex professo - Wnioskodawca cytując tezy z ogólnodostępnych protokołów NIK dot. nieprawidłowości w omawianym obszarze - umotywował  fakultatywnie, jak </w:t>
      </w:r>
      <w:r>
        <w:rPr>
          <w:rFonts w:cs="Arial" w:ascii="ArialMT" w:hAnsi="ArialMT"/>
          <w:b/>
          <w:bCs/>
          <w:color w:val="000000"/>
          <w:sz w:val="20"/>
          <w:szCs w:val="20"/>
        </w:rPr>
        <w:t>SZCZEGÓLNIE ISTOTNE</w:t>
      </w:r>
      <w:r>
        <w:rPr>
          <w:rFonts w:cs="Arial" w:ascii="ArialMT" w:hAnsi="ArialMT"/>
          <w:color w:val="000000"/>
          <w:sz w:val="20"/>
          <w:szCs w:val="20"/>
        </w:rPr>
        <w:t>  z punktu widzenia uzasadnionego interesu społecznego -  pro publico bono i racjonalnego wydatkowania środków podatników - jest przygotowanie i udzielenie odpowiedzi. </w:t>
      </w:r>
    </w:p>
    <w:p>
      <w:pPr>
        <w:pStyle w:val="Normal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  <w:t>Zdaniem Wnioskodawcy taki sposób motywacji poprzez zapoznanie się wnioskodawcy z ogólnodostępnymi protokowani NIK - nawet zacytowanie niektórych tez tam zawartych - zaspokajają w pełni wymogi art. 3 ust. 1 pkt. 1 Ustawy o dostępie do informacji publicznej ( t.j. Dz. U. 2022 poz. 902).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  <w:t>Przy prawidłowo prowadzonej dokumentacji dane te powinny być ad hoc dostępne w Urzędzie –   jak wykazano w  oparciu powyższą analizę i stan faktyczny z niej wynikający.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rFonts w:cs="Arial" w:ascii="Arial" w:hAnsi="Arial"/>
          <w:b/>
          <w:bCs/>
          <w:color w:val="000000"/>
          <w:sz w:val="20"/>
          <w:szCs w:val="20"/>
          <w:u w:val="single"/>
        </w:rPr>
        <w:t>II - Petycja Odrębna, o treści jak poniżej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Petycja odrębna - dla ułatwienia i zmniejszenia biurokracji - została dołączona do niniejszego wniosku   - vide -  J. Borkowski (w:) B. Adamiak, J. Borkowski, Kodeks postępowania…, s. 668; por. także art. 12 ust. 1 komentowanej ustawy - dostępne w sieci Internet.  - co jak wynika z cytowanego piśmiennictwa nie jest łączeniem trybów.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W trybie Ustawy o petycjach (Dz.U.2018.870 tj. z dnia 2018.05.10)  -  biorąc pod uwagę, wyżej przytoczone tezy NIK  -  można upewnić się że poruszana przez nas tematyka należy z pewnością do wartości wymagających szczególnej ochrony w imię dobra wspólnego, mieszczących się w zakresie zadań i kompetencji adresata petycji,  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Wnosimy o: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>II.1) Szczegółowe zapoznanie się Decydentów z cytowanym protokołem NIK </w:t>
      </w:r>
      <w:r>
        <w:rPr>
          <w:rFonts w:cs="Arial" w:ascii="ArialMT" w:hAnsi="ArialMT"/>
          <w:b/>
          <w:bCs/>
          <w:color w:val="000000"/>
          <w:sz w:val="20"/>
          <w:szCs w:val="20"/>
        </w:rPr>
        <w:t>o sygnaturze: LKI.430.003.2019 Nr ewid. 74/2019/P/19/072/LKI </w:t>
      </w:r>
      <w:r>
        <w:rPr>
          <w:rFonts w:cs="Arial" w:ascii="ArialMT" w:hAnsi="ArialMT"/>
          <w:color w:val="000000"/>
          <w:sz w:val="20"/>
          <w:szCs w:val="20"/>
        </w:rPr>
        <w:t>(w całości dostępny na stronach </w:t>
      </w:r>
      <w:hyperlink r:id="rId6">
        <w:r>
          <w:rPr>
            <w:rStyle w:val="ListLabel1"/>
            <w:rFonts w:cs="Arial" w:ascii="ArialMT" w:hAnsi="ArialMT"/>
            <w:color w:val="0000FF"/>
            <w:sz w:val="20"/>
            <w:szCs w:val="20"/>
            <w:u w:val="single"/>
          </w:rPr>
          <w:t>nik.gov.pl</w:t>
        </w:r>
      </w:hyperlink>
      <w:r>
        <w:rPr>
          <w:rFonts w:cs="Arial" w:ascii="ArialMT" w:hAnsi="ArialMT"/>
          <w:color w:val="000000"/>
          <w:sz w:val="20"/>
          <w:szCs w:val="20"/>
        </w:rPr>
        <w:t>).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  <w:t xml:space="preserve">Dodatkowo wnosimy o przeprowadzenie analizy tego obszaru pod kątem tez stawianych w cytowanym protokole NIK. </w:t>
        <w:br/>
      </w:r>
      <w:r>
        <w:rPr>
          <w:rFonts w:cs="Arial" w:ascii="Arial" w:hAnsi="Arial"/>
          <w:color w:val="000000"/>
          <w:sz w:val="20"/>
          <w:szCs w:val="20"/>
        </w:rPr>
        <w:t>Wnosimy również o wykonanie rekonesansu w obszarze związanym z ewentualną potrzebą zastosowania do promocji gminy – w ramach długofalowego planowania  - dedykowanych, nowoczesnych form promocji gminy o jakich mowa jest w kontencie naszego wniosku.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Wnosimy o ewentualne zaplanowanie nabycia takich wzmiankowanych wyżej - inteligentnych centrów informacji multimedialnej - oczywiście wszystko w ramach ścisłego stosowania zasad uczciwej konkurencji  i racjonalnego wydatkowania środków publicznych powierzonych przez podatników.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Wnioskodawy wydaje się, że korzystając z nowoczesnych multimedialnych form promocji gminy - sugestie  zawarte w protokołach pokontrolnych NIK - dotyczące długofalowego planowania i analizy efektów - być może łatwiej będzie można   wdrożyć w urzędzie.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Zdaniem wnioskodawcy -  stosując nowoczesne narzędzia sprawniej można zmierzyć ich efektywność, a co za tym  idzie wydatkowanie pieniędzy podatników w tym obszarze w mniemaniu Wnioskodawcy -  będzie efektywniejsze, lege artis, etc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 </w:t>
      </w:r>
      <w:r>
        <w:rPr>
          <w:rFonts w:cs="Arial" w:ascii="Arial" w:hAnsi="Arial"/>
          <w:color w:val="000000"/>
          <w:sz w:val="20"/>
          <w:szCs w:val="20"/>
        </w:rPr>
        <w:t>Wszystko to być może pozwoli  aby działania  - były wykonywane w większym stopniu - zgodnie z wytycznymi  Najwyższej Izby Kontroli pod kątem (…)"</w:t>
      </w:r>
      <w:r>
        <w:rPr>
          <w:rFonts w:cs="Arial" w:ascii="ArialMT" w:hAnsi="ArialMT"/>
          <w:b/>
          <w:bCs/>
          <w:color w:val="000000"/>
          <w:sz w:val="20"/>
          <w:szCs w:val="20"/>
        </w:rPr>
        <w:t>analizy potrzeb oraz określenia wskaźników osiągania celów i zadań promocyjnych oraz monitorowania i dokonywania analizy osiągniętych efektów działań promocyjnych,</w:t>
      </w:r>
      <w:r>
        <w:rPr>
          <w:rFonts w:cs="Arial" w:ascii="Arial" w:hAnsi="Arial"/>
          <w:color w:val="000000"/>
          <w:sz w:val="20"/>
          <w:szCs w:val="20"/>
        </w:rPr>
        <w:t> (…)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W mniemaniu wnioskodawcy Sugestie NIK wydają się  zasadne, a ich streszczenie  Wnioskodawca przywołał na wstępnie cytując niektóre tezy stawiane przez NIK,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Przypominamy, że Wnioskodawca uzyskał dostęp do rzeczonych protokołów   - na stronach WWW - nik.gov.pl. i są to materiały łatwo dostępne w sieci Internet .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Wydatkowanie pieniędzy podatników</w:t>
      </w:r>
      <w:r>
        <w:rPr>
          <w:rStyle w:val="Appleconvertedspace"/>
          <w:rFonts w:eastAsia="" w:cs="Arial" w:ascii="Arial" w:hAnsi="Arial" w:eastAsiaTheme="majorEastAsia"/>
          <w:b/>
          <w:bCs/>
          <w:color w:val="000000"/>
          <w:sz w:val="20"/>
          <w:szCs w:val="20"/>
        </w:rPr>
        <w:t> </w:t>
      </w:r>
      <w:r>
        <w:rPr>
          <w:rFonts w:cs="Arial" w:ascii="Arial" w:hAnsi="Arial"/>
          <w:color w:val="000000"/>
          <w:sz w:val="20"/>
          <w:szCs w:val="20"/>
        </w:rPr>
        <w:t>w tym obszarze powinno być pod szczególną kontrolą społeczną - gdyż efektem tych działań nie są lepsze drogi, lepsze wodociągi lepszy poziom szkolnictwa (takie działania łatwiej ocenić w ramach bezpośrednich oględzin popartych doświadczeniem obserwatora)  - natomiast efekty wydatków promocyjnych  są najczęściej widoczne pośrednio -  w ramach stopniowo zwiększających się przychodów gminy i publicity w skali makro.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Jeśli stan faktyczny wygląda rzeczywiście taki jak wynika to z wniosków NIK - wszyscy mamy obowiązek dbać o racjonalne wydatkowanie pieniędzy podatników w tym obszarze.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Mamy jedynie nadzieję, że wnioski podjęte przez NIK są przesadnie rygorystyczne</w:t>
      </w:r>
      <w:r>
        <w:rPr>
          <w:rFonts w:cs="Arial" w:ascii="Arial" w:hAnsi="Arial"/>
          <w:color w:val="000000"/>
          <w:sz w:val="20"/>
          <w:szCs w:val="20"/>
        </w:rPr>
        <w:t>, a nasza petycja przyczyni się do naprawy tego stanu faktycznego. 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Oczywiście ABY NASZA PETYCJA NIE BYŁA W ŻADNYM RAZIE ŁĄCZONA Z PÓŹNIEJSZYM ewentualnym trybem zamówienia  nie musimy dodawać, że jesteśmy przekonani, iż ewentualne postępowanie dot wyłonienia Usługodawców będących beneficjentem - postępowań związanych z promocją gminy i podnoszenia kwalifikacji urzędników -  będzie prowadzone z uwzględnieniem zasad uczciwej konkurencji - i o wyborze oferenta będą decydować jedynie  ustalone przez decydentów kryteria związane inter alia z aktualnym stanem prawnym, oraz racjonalnym wydatkowaniem środków publicznych.  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II.2) 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§10) Wnosimy o zwrotne potwierdzenie otrzymania niniejszego wniosku w trybie §7  Rozporządzenia Prezesa Rady Ministrów z dnia 8 stycznia 2002 r. w sprawie organizacji przyjmowania i rozpatrywania s. i wniosków. (Dz. U. z dnia 22 styczna 2002 r. Nr 5, poz. 46) -  na adres podnoszenie-wiedzy@samorzad.pl 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§10a) Wnosimy o to, aby odpowiedź w  przedmiocie powyższych pytań i petycji złożonych na mocy art. 63 Konstytucji RP - w związku z art.  241 KPA, została udzielona - zwrotnie na adres podnoszenie-wiedzy@samorzad.pl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Wniosek został sygnowany profilem zaufanym lub kwalifikowanym podpisem elektronicznym - stosownie do wytycznych Ustawy z dnia 5 września 2016 r. o usługach zaufania oraz identyfikacji elektronicznej (Dz.U.2016.1579 dnia 2016.09.29)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Wnioskodawca: </w:t>
      </w:r>
    </w:p>
    <w:p>
      <w:pPr>
        <w:pStyle w:val="Normal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Osoba Prawna</w:t>
      </w:r>
    </w:p>
    <w:p>
      <w:pPr>
        <w:pStyle w:val="Normal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  <w:t>Szulc-Euphenics.com</w:t>
      </w:r>
      <w:r>
        <w:rPr>
          <w:rFonts w:cs="Arial" w:ascii="Arial" w:hAnsi="Arial"/>
          <w:color w:val="000000"/>
          <w:sz w:val="20"/>
          <w:szCs w:val="20"/>
        </w:rPr>
        <w:t> p. Spółka Akcyjna </w:t>
      </w:r>
    </w:p>
    <w:p>
      <w:pPr>
        <w:pStyle w:val="Normal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Prezes Zarządu - Adam Szulc </w:t>
      </w:r>
    </w:p>
    <w:p>
      <w:pPr>
        <w:pStyle w:val="Normal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ul. Poligonowa 1</w:t>
      </w:r>
    </w:p>
    <w:p>
      <w:pPr>
        <w:pStyle w:val="Normal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04-051 Warszawa</w:t>
      </w:r>
    </w:p>
    <w:p>
      <w:pPr>
        <w:pStyle w:val="Normal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tel. 608-318-418 </w:t>
      </w:r>
    </w:p>
    <w:p>
      <w:pPr>
        <w:pStyle w:val="Normal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nr KRS: 0001 007 117</w:t>
      </w:r>
    </w:p>
    <w:p>
      <w:pPr>
        <w:pStyle w:val="Normal"/>
        <w:jc w:val="both"/>
        <w:rPr/>
      </w:pPr>
      <w:hyperlink r:id="rId7">
        <w:r>
          <w:rPr>
            <w:rStyle w:val="ListLabel1"/>
            <w:rFonts w:cs="Arial" w:ascii="ArialMT" w:hAnsi="ArialMT"/>
            <w:color w:val="0000FF"/>
            <w:sz w:val="20"/>
            <w:szCs w:val="20"/>
            <w:u w:val="single"/>
          </w:rPr>
          <w:t>www.gmina.pl</w:t>
        </w:r>
      </w:hyperlink>
      <w:r>
        <w:rPr>
          <w:rFonts w:cs="Arial" w:ascii="ArialMT" w:hAnsi="ArialMT"/>
          <w:color w:val="000000"/>
          <w:sz w:val="20"/>
          <w:szCs w:val="20"/>
        </w:rPr>
        <w:t>    </w:t>
      </w:r>
    </w:p>
    <w:p>
      <w:pPr>
        <w:pStyle w:val="Normal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Stosownie do art. 4 ust. 2 pkt. 1 Ustawy o petycjach (Dz.U.2014.1195 z dnia 2014.09.05)  Imię i nazwisko osoby reprezentującej Podmiot wnoszący petycję ujawnione jest powyżej 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Stosownie do art. 4 ust. 2 pkt. 5 ww. Ustawy -  petycja niniejsza została złożona za pomocą środków komunikacji elektronicznej, sygnowana podpisem elektronicznym (który ujawnia dodatkowe dane), a adres ujawniony expressis verbis w petycji jest wskazanym zwrotnym adresem e-mail.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  <w:t>Zwyczajowy komentarz do Wniosku:</w:t>
      </w:r>
    </w:p>
    <w:p>
      <w:pPr>
        <w:pStyle w:val="Normal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  <w:t> </w:t>
      </w:r>
    </w:p>
    <w:p>
      <w:pPr>
        <w:pStyle w:val="Normal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  <w:t>Adresat jest jednoznacznie identyfikowany - na podstawie - unikalnego adresu e-mail opublikowanego w Biuletynie Informacji Publicznej Jednostki i przypisanego do odnośnego Organu.</w:t>
      </w:r>
    </w:p>
    <w:p>
      <w:pPr>
        <w:pStyle w:val="Normal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>
      <w:pPr>
        <w:pStyle w:val="Normal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  <w:t>Pomimo, iż w rzeczonym wniosku powołujemy się na art. 241 Ustawy z dnia 14 czerwca 1960 r. Kodeks postępowania administracyjnego (t.j. Dz. U. z 2021 r. poz. 735 , 2052)   -  w naszym mniemaniu - nie oznacza to, że Urząd powinien rozpatrywać niniejsze wnioski w trybie KPA  - należy w tym przypadku zawsze stosować art. 222 KPA. </w:t>
      </w:r>
    </w:p>
    <w:p>
      <w:pPr>
        <w:pStyle w:val="Normal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  <w:t>W opinii Wnioskodawcy Urząd powinien w zależności od dokonanej interpretacji treści pisma  - procedować nasze wnioski  -  ad exemplum w trybie Ustawy o petycjach (Dz.U.2014.1195 z dnia 2014.09.05)  lub odpowiednio Ustawy o dostępie do informacji publicznej (wynika to zazwyczaj z jego treści i powołanych podstaw prawnych) - lub stosować art. 222KPA </w:t>
      </w:r>
    </w:p>
    <w:p>
      <w:pPr>
        <w:pStyle w:val="Normal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  <w:t>Zatem - wg. Wnioskodawcy niniejszy wniosek może być jedynie fakultatywnie rozpatrywany - jako optymalizacyjny w związku z art. 241 KPA. </w:t>
      </w:r>
    </w:p>
    <w:p>
      <w:pPr>
        <w:pStyle w:val="Normal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>
      <w:pPr>
        <w:pStyle w:val="Normal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  <w:t>Każdy Podmiot mający styczność z Urzędem - ma prawo i obowiązek - usprawniać struktury administracji samorządowej i każdy Podmiot bez wyjątku ma obowiązek walczyć o lepszą przyszłość dla Polski. </w:t>
      </w:r>
    </w:p>
    <w:p>
      <w:pPr>
        <w:pStyle w:val="Normal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  <w:t>Zatem pomimo formy zewnętrznej - Decydenci mogą/powinni dokonać własnej interpretacji  - zgodnie z brzmieniem art. 222 KPA. </w:t>
      </w:r>
    </w:p>
    <w:p>
      <w:pPr>
        <w:pStyle w:val="Normal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</w:r>
    </w:p>
    <w:p>
      <w:pPr>
        <w:pStyle w:val="Normal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  <w:t>Nazwa Wnioskodawca/Petycjodawca - jest dla uproszczenia stosowna jako synonim nazwy “Podmiot Wnoszący Petycję” - w rozumieniu art. 4 ust. 4 Ustawy o petycjach (Dz.U.2014.1195 z dnia 2014.09.05) </w:t>
      </w:r>
    </w:p>
    <w:p>
      <w:pPr>
        <w:pStyle w:val="Normal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</w:r>
    </w:p>
    <w:p>
      <w:pPr>
        <w:pStyle w:val="Normal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>
      <w:pPr>
        <w:pStyle w:val="Normal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</w:r>
    </w:p>
    <w:p>
      <w:pPr>
        <w:pStyle w:val="Normal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>
      <w:pPr>
        <w:pStyle w:val="Normal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</w:r>
    </w:p>
    <w:p>
      <w:pPr>
        <w:pStyle w:val="Normal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>
      <w:pPr>
        <w:pStyle w:val="Normal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</w:r>
    </w:p>
    <w:p>
      <w:pPr>
        <w:pStyle w:val="Normal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  <w:t>W Jednostkach Centralnych  - stan faktyczny jest o wiele lepszy.  </w:t>
      </w:r>
    </w:p>
    <w:p>
      <w:pPr>
        <w:pStyle w:val="Normal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</w:r>
    </w:p>
    <w:p>
      <w:pPr>
        <w:pStyle w:val="Normal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>
      <w:pPr>
        <w:pStyle w:val="Normal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>
      <w:pPr>
        <w:pStyle w:val="Normal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  <w:t>Jeżeli JST nie zgadza się z powołanymi przepisami prawa, prosimy aby zastosowano podstawy prawne akceptowane przez JST.</w:t>
      </w:r>
    </w:p>
    <w:p>
      <w:pPr>
        <w:pStyle w:val="Normal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>
      <w:pPr>
        <w:pStyle w:val="Normal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</w:r>
    </w:p>
    <w:p>
      <w:pPr>
        <w:pStyle w:val="Normal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  <w:t>Pamiętajmy również o przepisach zawartych inter alia: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wniosku.”</w:t>
      </w:r>
    </w:p>
    <w:p>
      <w:pPr>
        <w:pStyle w:val="Normal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  <w:t>Jeśli do przedmiotowego wniosku dołączono petycję - należy uznać, że Stosownie do art. 4 ust. 2 pkt. 1 Ustawy o petycjach ( tj. Dz.U. 2018 poz. 870)  -  osobą reprezentująca Podmiot wnoszący petycję - jest Prezes Zarządu wskazany w stopce </w:t>
      </w:r>
    </w:p>
    <w:p>
      <w:pPr>
        <w:pStyle w:val="Normal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  <w:t>*Stosownie do art. 4 ust. 2 pkt. 5 ww. Ustawy - petycja niniejsza została złożona za pomocą środków komunikacji elektronicznej - a wskazanym zwrotnym adresem poczty elektronicznej jest skrzynka poczty elektronicznej Adresata ujawniona w BIP i z BIP pozyskana przez wnioskodawcę/petycjodawcę, etc </w:t>
      </w:r>
    </w:p>
    <w:p>
      <w:pPr>
        <w:pStyle w:val="Normal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  <w:t>Adresatem Petycji - jest Organ ujawniony w komparycji.</w:t>
      </w:r>
    </w:p>
    <w:p>
      <w:pPr>
        <w:pStyle w:val="Normal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  <w:t>Kierownik Jednostki Samorządu Terytorialnego (dalej JST)  - w rozumieniu art. 33 ust. 3 Ustawy o samorządzie gminnym</w:t>
      </w:r>
    </w:p>
    <w:p>
      <w:pPr>
        <w:pStyle w:val="Normal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>
      <w:pPr>
        <w:pStyle w:val="Normal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</w:r>
    </w:p>
    <w:p>
      <w:pPr>
        <w:pStyle w:val="Normal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  <w:t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inter alia z parametrami ofert oraz ceną. </w:t>
      </w:r>
    </w:p>
    <w:p>
      <w:pPr>
        <w:pStyle w:val="Normal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</w:r>
    </w:p>
    <w:p>
      <w:pPr>
        <w:pStyle w:val="Normal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cs="Arial" w:ascii="ArialMT" w:hAnsi="ArialMT"/>
          <w:b/>
          <w:bCs/>
          <w:color w:val="000000"/>
          <w:sz w:val="20"/>
          <w:szCs w:val="20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>
      <w:pPr>
        <w:pStyle w:val="Normal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  <w:t>Ponownie sygnalizujemy, że do wniosku dołączono plik podpisany  profilem zaufanym lub 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>
      <w:pPr>
        <w:pStyle w:val="Normal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  <w:t>Oprócz dokumentu sygnowanego podpisem elektronicznym w formacie  pdf - dodatkowo - dla ułatwienia dekretacji u Adresata - wnioskodawca mógł dodać* - pro forma niesygnowany dokument w formacie docx. Oba dokumenty  są  zgodne z kontentem powyższej wiadomości e-mail. </w:t>
      </w:r>
    </w:p>
    <w:p>
      <w:pPr>
        <w:pStyle w:val="Normal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</w:r>
    </w:p>
    <w:p>
      <w:pPr>
        <w:pStyle w:val="Normal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cs="Arial" w:ascii="ArialMT" w:hAnsi="ArialMT"/>
          <w:color w:val="000000"/>
          <w:sz w:val="20"/>
          <w:szCs w:val="20"/>
        </w:rPr>
        <w:t>* - niepotrzebne - pominąć 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ptos">
    <w:charset w:val="ee"/>
    <w:family w:val="roman"/>
    <w:pitch w:val="variable"/>
  </w:font>
  <w:font w:name="Times New Roman">
    <w:charset w:val="ee"/>
    <w:family w:val="roman"/>
    <w:pitch w:val="variable"/>
  </w:font>
  <w:font w:name="Aptos Display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M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9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ptos" w:hAnsi="Aptos" w:eastAsia="Aptos" w:cs="" w:asciiTheme="minorHAnsi" w:cstheme="minorBidi" w:eastAsiaTheme="minorHAnsi" w:hAnsiTheme="minorHAnsi"/>
        <w:kern w:val="2"/>
        <w:sz w:val="24"/>
        <w:szCs w:val="24"/>
        <w:lang w:val="pl-PL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a319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  <w14:ligatures w14:val="none"/>
    </w:rPr>
  </w:style>
  <w:style w:type="paragraph" w:styleId="Nagwek1">
    <w:name w:val="Heading 1"/>
    <w:basedOn w:val="Normal"/>
    <w:next w:val="Normal"/>
    <w:link w:val="Nagwek1Znak"/>
    <w:uiPriority w:val="9"/>
    <w:qFormat/>
    <w:rsid w:val="00223994"/>
    <w:pPr>
      <w:keepNext w:val="true"/>
      <w:keepLines/>
      <w:spacing w:lineRule="auto" w:line="276" w:before="360" w:after="80"/>
      <w:outlineLvl w:val="0"/>
    </w:pPr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223994"/>
    <w:pPr>
      <w:keepNext w:val="true"/>
      <w:keepLines/>
      <w:spacing w:lineRule="auto" w:line="276" w:before="160" w:after="80"/>
      <w:outlineLvl w:val="1"/>
    </w:pPr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223994"/>
    <w:pPr>
      <w:keepNext w:val="true"/>
      <w:keepLines/>
      <w:spacing w:lineRule="auto" w:line="276" w:before="160" w:after="80"/>
      <w:outlineLvl w:val="2"/>
    </w:pPr>
    <w:rPr>
      <w:rFonts w:ascii="Aptos" w:hAnsi="Aptos" w:eastAsia="" w:cs="" w:asciiTheme="minorHAnsi" w:cstheme="majorBidi" w:eastAsiaTheme="majorEastAsia" w:hAnsiTheme="minorHAns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223994"/>
    <w:pPr>
      <w:keepNext w:val="true"/>
      <w:keepLines/>
      <w:spacing w:lineRule="auto" w:line="276" w:before="80" w:after="40"/>
      <w:outlineLvl w:val="3"/>
    </w:pPr>
    <w:rPr>
      <w:rFonts w:ascii="Aptos" w:hAnsi="Aptos" w:eastAsia="" w:cs="" w:asciiTheme="minorHAnsi" w:cstheme="majorBidi" w:eastAsiaTheme="majorEastAsia" w:hAnsiTheme="minorHAns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223994"/>
    <w:pPr>
      <w:keepNext w:val="true"/>
      <w:keepLines/>
      <w:spacing w:lineRule="auto" w:line="276" w:before="80" w:after="40"/>
      <w:outlineLvl w:val="4"/>
    </w:pPr>
    <w:rPr>
      <w:rFonts w:ascii="Aptos" w:hAnsi="Aptos" w:eastAsia="" w:cs="" w:asciiTheme="minorHAnsi" w:cstheme="majorBidi" w:eastAsiaTheme="majorEastAsia" w:hAnsiTheme="minorHAnsi"/>
      <w:color w:val="0F4761" w:themeColor="accent1" w:themeShade="bf"/>
      <w:kern w:val="2"/>
      <w:lang w:eastAsia="en-US"/>
      <w14:ligatures w14:val="standardContextual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223994"/>
    <w:pPr>
      <w:keepNext w:val="true"/>
      <w:keepLines/>
      <w:spacing w:lineRule="auto" w:line="276" w:before="40" w:after="0"/>
      <w:outlineLvl w:val="5"/>
    </w:pPr>
    <w:rPr>
      <w:rFonts w:ascii="Aptos" w:hAnsi="Aptos" w:eastAsia="" w:cs="" w:asciiTheme="minorHAnsi" w:cstheme="majorBidi" w:eastAsiaTheme="majorEastAsia" w:hAnsiTheme="minorHAns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223994"/>
    <w:pPr>
      <w:keepNext w:val="true"/>
      <w:keepLines/>
      <w:spacing w:lineRule="auto" w:line="276" w:before="40" w:after="0"/>
      <w:outlineLvl w:val="6"/>
    </w:pPr>
    <w:rPr>
      <w:rFonts w:ascii="Aptos" w:hAnsi="Aptos" w:eastAsia="" w:cs="" w:asciiTheme="minorHAnsi" w:cstheme="majorBidi" w:eastAsiaTheme="majorEastAsia" w:hAnsiTheme="minorHAnsi"/>
      <w:color w:val="595959" w:themeColor="text1" w:themeTint="a6"/>
      <w:kern w:val="2"/>
      <w:lang w:eastAsia="en-US"/>
      <w14:ligatures w14:val="standardContextual"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223994"/>
    <w:pPr>
      <w:keepNext w:val="true"/>
      <w:keepLines/>
      <w:spacing w:lineRule="auto" w:line="276"/>
      <w:outlineLvl w:val="7"/>
    </w:pPr>
    <w:rPr>
      <w:rFonts w:ascii="Aptos" w:hAnsi="Aptos" w:eastAsia="" w:cs="" w:asciiTheme="minorHAnsi" w:cstheme="majorBidi" w:eastAsiaTheme="majorEastAsia" w:hAnsiTheme="minorHAns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223994"/>
    <w:pPr>
      <w:keepNext w:val="true"/>
      <w:keepLines/>
      <w:spacing w:lineRule="auto" w:line="276"/>
      <w:outlineLvl w:val="8"/>
    </w:pPr>
    <w:rPr>
      <w:rFonts w:ascii="Aptos" w:hAnsi="Aptos" w:eastAsia="" w:cs="" w:asciiTheme="minorHAnsi" w:cstheme="majorBidi" w:eastAsiaTheme="majorEastAsia" w:hAnsiTheme="minorHAnsi"/>
      <w:color w:val="272727" w:themeColor="text1" w:themeTint="d8"/>
      <w:kern w:val="2"/>
      <w:lang w:eastAsia="en-US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223994"/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40"/>
      <w:szCs w:val="40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223994"/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32"/>
      <w:szCs w:val="32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223994"/>
    <w:rPr>
      <w:rFonts w:eastAsia="" w:cs="" w:cstheme="majorBidi" w:eastAsiaTheme="majorEastAsia"/>
      <w:color w:val="0F4761" w:themeColor="accent1" w:themeShade="bf"/>
      <w:sz w:val="28"/>
      <w:szCs w:val="28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223994"/>
    <w:rPr>
      <w:rFonts w:eastAsia="" w:cs="" w:cstheme="majorBidi" w:eastAsiaTheme="majorEastAsia"/>
      <w:i/>
      <w:iCs/>
      <w:color w:val="0F4761" w:themeColor="accent1" w:themeShade="bf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223994"/>
    <w:rPr>
      <w:rFonts w:eastAsia="" w:cs="" w:cstheme="majorBidi" w:eastAsiaTheme="majorEastAsia"/>
      <w:color w:val="0F4761" w:themeColor="accent1" w:themeShade="bf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223994"/>
    <w:rPr>
      <w:rFonts w:eastAsia="" w:cs="" w:cstheme="majorBidi" w:eastAsiaTheme="majorEastAsia"/>
      <w:i/>
      <w:iCs/>
      <w:color w:val="595959" w:themeColor="text1" w:themeTint="a6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223994"/>
    <w:rPr>
      <w:rFonts w:eastAsia="" w:cs="" w:cstheme="majorBidi" w:eastAsiaTheme="majorEastAsia"/>
      <w:color w:val="595959" w:themeColor="text1" w:themeTint="a6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223994"/>
    <w:rPr>
      <w:rFonts w:eastAsia="" w:cs="" w:cstheme="majorBidi" w:eastAsiaTheme="majorEastAsia"/>
      <w:i/>
      <w:iCs/>
      <w:color w:val="272727" w:themeColor="text1" w:themeTint="d8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223994"/>
    <w:rPr>
      <w:rFonts w:eastAsia="" w:cs="" w:cstheme="majorBidi" w:eastAsiaTheme="majorEastAsia"/>
      <w:color w:val="272727" w:themeColor="text1" w:themeTint="d8"/>
    </w:rPr>
  </w:style>
  <w:style w:type="character" w:styleId="TytuZnak" w:customStyle="1">
    <w:name w:val="Tytuł Znak"/>
    <w:basedOn w:val="DefaultParagraphFont"/>
    <w:link w:val="Tytu"/>
    <w:uiPriority w:val="10"/>
    <w:qFormat/>
    <w:rsid w:val="00223994"/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223994"/>
    <w:rPr>
      <w:rFonts w:eastAsia="" w:cs="" w:cstheme="majorBidi" w:eastAsiaTheme="majorEastAsia"/>
      <w:color w:val="595959" w:themeColor="text1" w:themeTint="a6"/>
      <w:spacing w:val="15"/>
      <w:sz w:val="28"/>
      <w:szCs w:val="28"/>
    </w:rPr>
  </w:style>
  <w:style w:type="character" w:styleId="CytatZnak" w:customStyle="1">
    <w:name w:val="Cytat Znak"/>
    <w:basedOn w:val="DefaultParagraphFont"/>
    <w:link w:val="Cytat"/>
    <w:uiPriority w:val="29"/>
    <w:qFormat/>
    <w:rsid w:val="0022399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23994"/>
    <w:rPr>
      <w:i/>
      <w:iCs/>
      <w:color w:val="0F4761" w:themeColor="accent1" w:themeShade="bf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22399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23994"/>
    <w:rPr>
      <w:b/>
      <w:bCs/>
      <w:smallCaps/>
      <w:color w:val="0F4761" w:themeColor="accent1" w:themeShade="bf"/>
      <w:spacing w:val="5"/>
    </w:rPr>
  </w:style>
  <w:style w:type="character" w:styleId="Appleconvertedspace" w:customStyle="1">
    <w:name w:val="apple-converted-space"/>
    <w:basedOn w:val="DefaultParagraphFont"/>
    <w:qFormat/>
    <w:rsid w:val="00223994"/>
    <w:rPr/>
  </w:style>
  <w:style w:type="character" w:styleId="Czeinternetowe">
    <w:name w:val="Łącze internetowe"/>
    <w:basedOn w:val="DefaultParagraphFont"/>
    <w:uiPriority w:val="99"/>
    <w:semiHidden/>
    <w:unhideWhenUsed/>
    <w:rsid w:val="00223994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next w:val="Normal"/>
    <w:link w:val="TytuZnak"/>
    <w:uiPriority w:val="10"/>
    <w:qFormat/>
    <w:rsid w:val="00223994"/>
    <w:pPr>
      <w:spacing w:before="0" w:after="80"/>
      <w:contextualSpacing/>
    </w:pPr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  <w:lang w:eastAsia="en-US"/>
      <w14:ligatures w14:val="standardContextual"/>
    </w:rPr>
  </w:style>
  <w:style w:type="paragraph" w:styleId="Podtytu">
    <w:name w:val="Subtitle"/>
    <w:basedOn w:val="Normal"/>
    <w:next w:val="Normal"/>
    <w:link w:val="PodtytuZnak"/>
    <w:uiPriority w:val="11"/>
    <w:qFormat/>
    <w:rsid w:val="00223994"/>
    <w:pPr>
      <w:spacing w:lineRule="auto" w:line="276" w:before="0" w:after="160"/>
    </w:pPr>
    <w:rPr>
      <w:rFonts w:ascii="Aptos" w:hAnsi="Aptos" w:eastAsia="" w:cs="" w:asciiTheme="minorHAnsi" w:cstheme="majorBidi" w:eastAsiaTheme="majorEastAsia" w:hAnsiTheme="minorHAns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paragraph" w:styleId="Quote">
    <w:name w:val="Quote"/>
    <w:basedOn w:val="Normal"/>
    <w:next w:val="Normal"/>
    <w:link w:val="CytatZnak"/>
    <w:uiPriority w:val="29"/>
    <w:qFormat/>
    <w:rsid w:val="00223994"/>
    <w:pPr>
      <w:spacing w:lineRule="auto" w:line="276" w:before="160" w:after="160"/>
      <w:jc w:val="center"/>
    </w:pPr>
    <w:rPr>
      <w:rFonts w:ascii="Aptos" w:hAnsi="Aptos" w:eastAsia="Aptos" w:cs="" w:asciiTheme="minorHAnsi" w:cstheme="minorBidi" w:eastAsiaTheme="minorHAnsi" w:hAnsiTheme="minorHAnsi"/>
      <w:i/>
      <w:iCs/>
      <w:color w:val="404040" w:themeColor="text1" w:themeTint="bf"/>
      <w:kern w:val="2"/>
      <w:lang w:eastAsia="en-US"/>
      <w14:ligatures w14:val="standardContextual"/>
    </w:rPr>
  </w:style>
  <w:style w:type="paragraph" w:styleId="ListParagraph">
    <w:name w:val="List Paragraph"/>
    <w:basedOn w:val="Normal"/>
    <w:uiPriority w:val="34"/>
    <w:qFormat/>
    <w:rsid w:val="00223994"/>
    <w:pPr>
      <w:spacing w:lineRule="auto" w:line="276" w:before="0" w:after="160"/>
      <w:ind w:left="720" w:hanging="0"/>
      <w:contextualSpacing/>
    </w:pPr>
    <w:rPr>
      <w:rFonts w:ascii="Aptos" w:hAnsi="Aptos" w:eastAsia="Aptos" w:cs="" w:asciiTheme="minorHAnsi" w:cstheme="minorBidi" w:eastAsiaTheme="minorHAnsi" w:hAnsiTheme="minorHAnsi"/>
      <w:kern w:val="2"/>
      <w:lang w:eastAsia="en-US"/>
      <w14:ligatures w14:val="standardContextual"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223994"/>
    <w:pPr>
      <w:pBdr>
        <w:top w:val="single" w:sz="4" w:space="10" w:color="0F4761"/>
        <w:bottom w:val="single" w:sz="4" w:space="10" w:color="0F4761"/>
      </w:pBdr>
      <w:spacing w:lineRule="auto" w:line="276" w:before="360" w:after="360"/>
      <w:ind w:left="864" w:right="864" w:hanging="0"/>
      <w:jc w:val="center"/>
    </w:pPr>
    <w:rPr>
      <w:rFonts w:ascii="Aptos" w:hAnsi="Aptos" w:eastAsia="Aptos" w:cs="" w:asciiTheme="minorHAnsi" w:cstheme="minorBidi" w:eastAsiaTheme="minorHAnsi" w:hAnsiTheme="minorHAns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dnoszenie-wiedzy@samorzad.pl" TargetMode="External"/><Relationship Id="rId3" Type="http://schemas.openxmlformats.org/officeDocument/2006/relationships/hyperlink" Target="mailto:adresat.urzad@samorzad.pl" TargetMode="External"/><Relationship Id="rId4" Type="http://schemas.openxmlformats.org/officeDocument/2006/relationships/hyperlink" Target="mailto:dwnik@nik.gov.pl" TargetMode="External"/><Relationship Id="rId5" Type="http://schemas.openxmlformats.org/officeDocument/2006/relationships/hyperlink" Target="http://nik.gov.pl/" TargetMode="External"/><Relationship Id="rId6" Type="http://schemas.openxmlformats.org/officeDocument/2006/relationships/hyperlink" Target="http://nik.gov.pl/" TargetMode="External"/><Relationship Id="rId7" Type="http://schemas.openxmlformats.org/officeDocument/2006/relationships/hyperlink" Target="http://www.gmina.pl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LibreOffice/6.3.2.2$Windows_X86_64 LibreOffice_project/98b30e735bda24bc04ab42594c85f7fd8be07b9c</Application>
  <Pages>8</Pages>
  <Words>4143</Words>
  <Characters>25568</Characters>
  <CharactersWithSpaces>29827</CharactersWithSpaces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2024-04-04T12:58:00Z</dcterms:created>
  <dc:creator>Adam Szulc</dc:creator>
  <dc:description/>
  <dc:language>pl-PL</dc:language>
  <cp:lastModifiedBy/>
  <dcterms:modified xsi:type="dcterms:W3CDTF">2024-04-09T10:37:37Z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